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4A" w:rsidRPr="001B794A" w:rsidRDefault="001B794A" w:rsidP="001B794A">
      <w:pPr>
        <w:jc w:val="center"/>
        <w:rPr>
          <w:rFonts w:eastAsia="Times New Roman"/>
        </w:rPr>
      </w:pPr>
      <w:bookmarkStart w:id="0" w:name="_GoBack"/>
      <w:bookmarkEnd w:id="0"/>
      <w:r w:rsidRPr="001B794A">
        <w:rPr>
          <w:rFonts w:eastAsia="Times New Roman"/>
          <w:noProof/>
        </w:rPr>
        <w:drawing>
          <wp:inline distT="0" distB="0" distL="0" distR="0" wp14:anchorId="165104C3" wp14:editId="3D306303">
            <wp:extent cx="1003300" cy="990600"/>
            <wp:effectExtent l="0" t="0" r="6350" b="0"/>
            <wp:docPr id="1" name="Рисунок 1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4A" w:rsidRPr="001B794A" w:rsidRDefault="001B794A" w:rsidP="001B794A">
      <w:pPr>
        <w:jc w:val="center"/>
        <w:rPr>
          <w:rFonts w:eastAsia="Times New Roman"/>
        </w:rPr>
      </w:pPr>
    </w:p>
    <w:p w:rsidR="001B794A" w:rsidRPr="001B794A" w:rsidRDefault="001B794A" w:rsidP="001B794A">
      <w:pPr>
        <w:tabs>
          <w:tab w:val="left" w:pos="6300"/>
        </w:tabs>
        <w:jc w:val="center"/>
        <w:rPr>
          <w:rFonts w:eastAsia="Times New Roman"/>
          <w:b/>
          <w:sz w:val="28"/>
        </w:rPr>
      </w:pPr>
      <w:r w:rsidRPr="001B794A">
        <w:rPr>
          <w:rFonts w:eastAsia="Times New Roman"/>
          <w:b/>
          <w:sz w:val="28"/>
        </w:rPr>
        <w:t>П О С Т А Н О В Л Е Н И Е</w:t>
      </w:r>
    </w:p>
    <w:p w:rsidR="001B794A" w:rsidRPr="001B794A" w:rsidRDefault="001B794A" w:rsidP="001B794A">
      <w:pPr>
        <w:jc w:val="center"/>
        <w:rPr>
          <w:rFonts w:eastAsia="Times New Roman"/>
          <w:b/>
          <w:sz w:val="28"/>
        </w:rPr>
      </w:pPr>
    </w:p>
    <w:p w:rsidR="001B794A" w:rsidRPr="001B794A" w:rsidRDefault="001B794A" w:rsidP="001B794A">
      <w:pPr>
        <w:jc w:val="center"/>
        <w:rPr>
          <w:rFonts w:eastAsia="Times New Roman"/>
          <w:b/>
          <w:sz w:val="28"/>
        </w:rPr>
      </w:pPr>
      <w:r w:rsidRPr="001B794A">
        <w:rPr>
          <w:rFonts w:eastAsia="Times New Roman"/>
          <w:b/>
          <w:sz w:val="28"/>
        </w:rPr>
        <w:t>Парламентской Ассамблеи</w:t>
      </w:r>
    </w:p>
    <w:p w:rsidR="001B794A" w:rsidRPr="001B794A" w:rsidRDefault="001B794A" w:rsidP="001B794A">
      <w:pPr>
        <w:jc w:val="center"/>
        <w:rPr>
          <w:rFonts w:eastAsia="Times New Roman"/>
          <w:b/>
          <w:sz w:val="28"/>
        </w:rPr>
      </w:pPr>
      <w:r w:rsidRPr="001B794A">
        <w:rPr>
          <w:rFonts w:eastAsia="Times New Roman"/>
          <w:b/>
          <w:sz w:val="28"/>
        </w:rPr>
        <w:t>Организации Договора о коллективной безопасности</w:t>
      </w:r>
    </w:p>
    <w:p w:rsidR="001B794A" w:rsidRPr="001B794A" w:rsidRDefault="001B794A" w:rsidP="001B794A">
      <w:pPr>
        <w:jc w:val="center"/>
        <w:rPr>
          <w:rFonts w:eastAsia="Times New Roman"/>
          <w:b/>
          <w:sz w:val="28"/>
        </w:rPr>
      </w:pPr>
    </w:p>
    <w:p w:rsidR="001B794A" w:rsidRPr="001B794A" w:rsidRDefault="001B794A" w:rsidP="001B794A">
      <w:pPr>
        <w:jc w:val="center"/>
        <w:rPr>
          <w:rFonts w:eastAsia="Times New Roman"/>
          <w:b/>
          <w:sz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B794A" w:rsidRPr="001B794A" w:rsidTr="00BA45B9">
        <w:tc>
          <w:tcPr>
            <w:tcW w:w="9889" w:type="dxa"/>
            <w:shd w:val="clear" w:color="auto" w:fill="auto"/>
          </w:tcPr>
          <w:p w:rsidR="001B794A" w:rsidRPr="001B794A" w:rsidRDefault="001B794A" w:rsidP="001B794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B794A">
              <w:rPr>
                <w:rFonts w:eastAsia="Times New Roman"/>
                <w:b/>
                <w:sz w:val="28"/>
                <w:szCs w:val="28"/>
              </w:rPr>
              <w:t xml:space="preserve">О проекте Рекомендаций </w:t>
            </w:r>
          </w:p>
          <w:p w:rsidR="001B794A" w:rsidRPr="001B794A" w:rsidRDefault="001B794A" w:rsidP="001B794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B794A">
              <w:rPr>
                <w:rFonts w:eastAsia="Times New Roman"/>
                <w:b/>
                <w:sz w:val="28"/>
                <w:szCs w:val="28"/>
              </w:rPr>
              <w:t xml:space="preserve">по гармонизации национального законодательства государств – членов </w:t>
            </w:r>
          </w:p>
          <w:p w:rsidR="001B794A" w:rsidRPr="001B794A" w:rsidRDefault="001B794A" w:rsidP="001B794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B794A">
              <w:rPr>
                <w:rFonts w:eastAsia="Times New Roman"/>
                <w:b/>
                <w:sz w:val="28"/>
                <w:szCs w:val="28"/>
              </w:rPr>
              <w:t xml:space="preserve">Организации Договора о коллективной безопасности в части, </w:t>
            </w:r>
          </w:p>
          <w:p w:rsidR="001B794A" w:rsidRPr="001B794A" w:rsidRDefault="001B794A" w:rsidP="001B794A">
            <w:pPr>
              <w:jc w:val="center"/>
              <w:rPr>
                <w:rFonts w:eastAsia="Times New Roman"/>
                <w:b/>
                <w:sz w:val="28"/>
              </w:rPr>
            </w:pPr>
            <w:r w:rsidRPr="001B794A">
              <w:rPr>
                <w:rFonts w:eastAsia="Times New Roman"/>
                <w:b/>
                <w:sz w:val="28"/>
                <w:szCs w:val="28"/>
              </w:rPr>
              <w:t>касающейся признания организаций террористическими</w:t>
            </w:r>
          </w:p>
        </w:tc>
      </w:tr>
    </w:tbl>
    <w:p w:rsidR="001B794A" w:rsidRPr="001B794A" w:rsidRDefault="001B794A" w:rsidP="001B794A">
      <w:pPr>
        <w:jc w:val="center"/>
        <w:rPr>
          <w:rFonts w:eastAsia="Times New Roman"/>
          <w:b/>
          <w:sz w:val="28"/>
        </w:rPr>
      </w:pPr>
    </w:p>
    <w:p w:rsidR="001B794A" w:rsidRPr="001B794A" w:rsidRDefault="001B794A" w:rsidP="001B794A">
      <w:pPr>
        <w:jc w:val="center"/>
        <w:rPr>
          <w:rFonts w:eastAsia="Times New Roman"/>
          <w:b/>
          <w:sz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94A" w:rsidRPr="001B794A" w:rsidTr="00BA45B9">
        <w:tc>
          <w:tcPr>
            <w:tcW w:w="9889" w:type="dxa"/>
          </w:tcPr>
          <w:p w:rsidR="001B794A" w:rsidRPr="001B794A" w:rsidRDefault="001B794A" w:rsidP="001B794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B794A">
              <w:rPr>
                <w:rFonts w:ascii="Times New Roman" w:eastAsia="Times New Roman" w:hAnsi="Times New Roman" w:cs="Times New Roman"/>
                <w:sz w:val="28"/>
              </w:rPr>
              <w:t>Парламентская Ассамблея Организации Договора о коллективной безопасности   п о с т а н о в л я е т:</w:t>
            </w:r>
          </w:p>
          <w:p w:rsidR="001B794A" w:rsidRPr="001B794A" w:rsidRDefault="001B794A" w:rsidP="001B794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794A" w:rsidRPr="001B794A" w:rsidRDefault="001B794A" w:rsidP="001B79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4A">
              <w:rPr>
                <w:rFonts w:ascii="Times New Roman" w:eastAsia="Times New Roman" w:hAnsi="Times New Roman" w:cs="Times New Roman"/>
                <w:sz w:val="28"/>
              </w:rPr>
              <w:t xml:space="preserve">1. Принять </w:t>
            </w:r>
            <w:r w:rsidRPr="001B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по гармонизации национального законодательства государств – членов Организации Договора о коллективной безопасности в части, касающейся признания организаций террористическими </w:t>
            </w:r>
            <w:r w:rsidRPr="001B794A">
              <w:rPr>
                <w:rFonts w:ascii="Times New Roman" w:eastAsia="Times New Roman" w:hAnsi="Times New Roman" w:cs="Times New Roman"/>
                <w:sz w:val="28"/>
              </w:rPr>
              <w:t xml:space="preserve">(далее – Рекомендации) </w:t>
            </w:r>
            <w:r w:rsidRPr="001B794A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(прилагаются).</w:t>
            </w:r>
          </w:p>
          <w:p w:rsidR="001B794A" w:rsidRPr="001B794A" w:rsidRDefault="001B794A" w:rsidP="001B794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B794A">
              <w:rPr>
                <w:rFonts w:ascii="Times New Roman" w:eastAsia="Times New Roman" w:hAnsi="Times New Roman" w:cs="Times New Roman"/>
                <w:sz w:val="28"/>
              </w:rPr>
              <w:t>2. Направить указанные в пункте 1 настоящего постановления Рекомендации</w:t>
            </w:r>
            <w:r w:rsidRPr="001B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794A">
              <w:rPr>
                <w:rFonts w:ascii="Times New Roman" w:eastAsia="Times New Roman" w:hAnsi="Times New Roman" w:cs="Times New Roman"/>
                <w:sz w:val="28"/>
              </w:rPr>
              <w:t>в парламенты государств – членов ОДКБ</w:t>
            </w:r>
            <w:r w:rsidRPr="001B794A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 w:rsidRPr="001B794A">
              <w:rPr>
                <w:rFonts w:ascii="Times New Roman" w:eastAsia="Times New Roman" w:hAnsi="Times New Roman" w:cs="Times New Roman"/>
                <w:sz w:val="28"/>
              </w:rPr>
              <w:t>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1B794A" w:rsidRPr="001B794A" w:rsidRDefault="001B794A" w:rsidP="001B79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B794A">
              <w:rPr>
                <w:rFonts w:ascii="Times New Roman" w:eastAsia="Times New Roman" w:hAnsi="Times New Roman" w:cs="Times New Roman"/>
                <w:sz w:val="28"/>
              </w:rPr>
              <w:t>3. Разместить Рекомендации на официальном сайте и опубликовать в печатных материалах Парламентской Ассамблеи ОДКБ.</w:t>
            </w:r>
          </w:p>
        </w:tc>
      </w:tr>
    </w:tbl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268"/>
      </w:tblGrid>
      <w:tr w:rsidR="001B794A" w:rsidRPr="001B794A" w:rsidTr="00BA45B9">
        <w:tc>
          <w:tcPr>
            <w:tcW w:w="4644" w:type="dxa"/>
            <w:shd w:val="clear" w:color="auto" w:fill="auto"/>
          </w:tcPr>
          <w:p w:rsidR="001B794A" w:rsidRPr="001B794A" w:rsidRDefault="001B794A" w:rsidP="001B794A">
            <w:pPr>
              <w:rPr>
                <w:rFonts w:eastAsia="Times New Roman"/>
                <w:b/>
              </w:rPr>
            </w:pPr>
          </w:p>
          <w:p w:rsidR="001B794A" w:rsidRPr="001B794A" w:rsidRDefault="001B794A" w:rsidP="001B794A">
            <w:pPr>
              <w:rPr>
                <w:rFonts w:eastAsia="Times New Roman"/>
                <w:b/>
              </w:rPr>
            </w:pPr>
          </w:p>
          <w:p w:rsidR="001B794A" w:rsidRPr="001B794A" w:rsidRDefault="001B794A" w:rsidP="001B794A">
            <w:pPr>
              <w:rPr>
                <w:rFonts w:eastAsia="Times New Roman"/>
                <w:b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4680"/>
            </w:tblGrid>
            <w:tr w:rsidR="001B794A" w:rsidRPr="001B794A" w:rsidTr="00BA45B9">
              <w:tc>
                <w:tcPr>
                  <w:tcW w:w="5175" w:type="dxa"/>
                  <w:hideMark/>
                </w:tcPr>
                <w:p w:rsidR="001B794A" w:rsidRPr="001B794A" w:rsidRDefault="001B794A" w:rsidP="001B794A">
                  <w:pPr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</w:pPr>
                  <w:r w:rsidRPr="001B794A"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 xml:space="preserve">Председатель                                                                                     </w:t>
                  </w:r>
                </w:p>
                <w:p w:rsidR="001B794A" w:rsidRPr="001B794A" w:rsidRDefault="001B794A" w:rsidP="001B794A">
                  <w:pPr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</w:pPr>
                  <w:r w:rsidRPr="001B794A"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 xml:space="preserve">Парламентской Ассамблеи ОДКБ                                                   </w:t>
                  </w:r>
                </w:p>
              </w:tc>
              <w:tc>
                <w:tcPr>
                  <w:tcW w:w="4680" w:type="dxa"/>
                </w:tcPr>
                <w:p w:rsidR="001B794A" w:rsidRPr="001B794A" w:rsidRDefault="001B794A" w:rsidP="001B794A">
                  <w:pPr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1B794A" w:rsidRPr="001B794A" w:rsidRDefault="001B794A" w:rsidP="001B794A">
                  <w:pPr>
                    <w:jc w:val="right"/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B794A" w:rsidRPr="001B794A" w:rsidRDefault="001B794A" w:rsidP="001B794A">
            <w:pPr>
              <w:ind w:firstLine="709"/>
              <w:jc w:val="both"/>
              <w:rPr>
                <w:rFonts w:eastAsia="Times New Roman"/>
                <w:b/>
                <w:lang w:eastAsia="en-US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6724"/>
            </w:tblGrid>
            <w:tr w:rsidR="001B794A" w:rsidRPr="001B794A" w:rsidTr="00BA45B9">
              <w:tc>
                <w:tcPr>
                  <w:tcW w:w="3130" w:type="dxa"/>
                  <w:hideMark/>
                </w:tcPr>
                <w:p w:rsidR="001B794A" w:rsidRPr="001B794A" w:rsidRDefault="001B794A" w:rsidP="001B794A">
                  <w:pPr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</w:pPr>
                  <w:r w:rsidRPr="001B794A"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>Москва</w:t>
                  </w:r>
                </w:p>
                <w:p w:rsidR="001B794A" w:rsidRPr="001B794A" w:rsidRDefault="001B794A" w:rsidP="001B794A">
                  <w:pPr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</w:pPr>
                  <w:r w:rsidRPr="001B794A"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>30 октября 2018 года</w:t>
                  </w:r>
                </w:p>
                <w:p w:rsidR="001B794A" w:rsidRPr="001B794A" w:rsidRDefault="001B794A" w:rsidP="001B794A">
                  <w:pPr>
                    <w:rPr>
                      <w:rFonts w:eastAsia="Times New Roman"/>
                      <w:b/>
                      <w:sz w:val="28"/>
                      <w:szCs w:val="28"/>
                      <w:lang w:val="en-US" w:eastAsia="en-US"/>
                    </w:rPr>
                  </w:pPr>
                  <w:r w:rsidRPr="001B794A"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>№ 11-3.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6721" w:type="dxa"/>
                </w:tcPr>
                <w:p w:rsidR="001B794A" w:rsidRPr="001B794A" w:rsidRDefault="001B794A" w:rsidP="001B794A">
                  <w:pPr>
                    <w:jc w:val="both"/>
                    <w:rPr>
                      <w:rFonts w:eastAsia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B794A" w:rsidRPr="001B794A" w:rsidRDefault="001B794A" w:rsidP="001B794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B794A" w:rsidRPr="001B794A" w:rsidRDefault="001B794A" w:rsidP="001B794A">
            <w:pPr>
              <w:rPr>
                <w:rFonts w:eastAsia="Times New Roman"/>
                <w:b/>
                <w:lang w:eastAsia="en-US"/>
              </w:rPr>
            </w:pPr>
            <w:r w:rsidRPr="001B794A">
              <w:rPr>
                <w:rFonts w:eastAsia="Times New Roman"/>
                <w:b/>
                <w:noProof/>
              </w:rPr>
              <w:drawing>
                <wp:inline distT="0" distB="0" distL="0" distR="0" wp14:anchorId="48CF30C3" wp14:editId="4F8E96D5">
                  <wp:extent cx="1726062" cy="1571625"/>
                  <wp:effectExtent l="0" t="0" r="7620" b="0"/>
                  <wp:docPr id="2" name="Рисунок 2" descr="Описание: Описание: Описание: C:\Users\2\Pictures\2017-11-2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C:\Users\2\Pictures\2017-11-2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62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1B794A" w:rsidRPr="001B794A" w:rsidRDefault="001B794A" w:rsidP="001B794A">
            <w:pPr>
              <w:jc w:val="right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1B794A" w:rsidRPr="001B794A" w:rsidRDefault="001B794A" w:rsidP="001B794A">
            <w:pPr>
              <w:jc w:val="right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1B794A" w:rsidRPr="001B794A" w:rsidRDefault="001B794A" w:rsidP="001B794A">
            <w:pPr>
              <w:jc w:val="right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1B794A" w:rsidRPr="001B794A" w:rsidRDefault="001B794A" w:rsidP="001B794A">
            <w:pPr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1B794A" w:rsidRPr="001B794A" w:rsidRDefault="001B794A" w:rsidP="001B794A">
            <w:pPr>
              <w:ind w:left="-108"/>
              <w:jc w:val="right"/>
              <w:rPr>
                <w:rFonts w:eastAsia="Times New Roman"/>
                <w:b/>
                <w:lang w:eastAsia="en-US"/>
              </w:rPr>
            </w:pPr>
            <w:r w:rsidRPr="001B794A">
              <w:rPr>
                <w:rFonts w:eastAsia="Times New Roman"/>
                <w:b/>
                <w:sz w:val="28"/>
                <w:szCs w:val="28"/>
                <w:lang w:eastAsia="en-US"/>
              </w:rPr>
              <w:t>В. В. ВОЛОДИН</w:t>
            </w:r>
          </w:p>
        </w:tc>
      </w:tr>
    </w:tbl>
    <w:p w:rsidR="001B794A" w:rsidRPr="001B794A" w:rsidRDefault="001B794A" w:rsidP="001B794A">
      <w:pPr>
        <w:rPr>
          <w:rFonts w:eastAsia="Times New Roman"/>
        </w:rPr>
      </w:pPr>
    </w:p>
    <w:p w:rsidR="001B794A" w:rsidRPr="001B794A" w:rsidRDefault="001B794A">
      <w:pPr>
        <w:rPr>
          <w:rFonts w:eastAsia="Times New Roman"/>
        </w:rPr>
      </w:pPr>
      <w:r w:rsidRPr="001B794A">
        <w:rPr>
          <w:rFonts w:eastAsia="Times New Roman"/>
        </w:rPr>
        <w:br w:type="page"/>
      </w:r>
    </w:p>
    <w:p w:rsidR="008C3A67" w:rsidRPr="008C3A67" w:rsidRDefault="008C3A67" w:rsidP="008C3A67">
      <w:pPr>
        <w:ind w:right="-144"/>
        <w:jc w:val="right"/>
        <w:rPr>
          <w:rFonts w:eastAsia="Times New Roman"/>
        </w:rPr>
      </w:pPr>
      <w:r w:rsidRPr="008C3A67">
        <w:rPr>
          <w:rFonts w:eastAsia="Times New Roman"/>
        </w:rPr>
        <w:lastRenderedPageBreak/>
        <w:t xml:space="preserve">Приняты </w:t>
      </w:r>
    </w:p>
    <w:p w:rsidR="008C3A67" w:rsidRPr="008C3A67" w:rsidRDefault="008C3A67" w:rsidP="008C3A67">
      <w:pPr>
        <w:ind w:right="-144"/>
        <w:jc w:val="right"/>
        <w:rPr>
          <w:rFonts w:eastAsia="Times New Roman"/>
        </w:rPr>
      </w:pPr>
      <w:r w:rsidRPr="008C3A67">
        <w:rPr>
          <w:rFonts w:eastAsia="Times New Roman"/>
        </w:rPr>
        <w:t xml:space="preserve">на одиннадцатом пленарном заседании </w:t>
      </w:r>
    </w:p>
    <w:p w:rsidR="008C3A67" w:rsidRPr="008C3A67" w:rsidRDefault="008C3A67" w:rsidP="008C3A67">
      <w:pPr>
        <w:ind w:right="-144"/>
        <w:jc w:val="right"/>
        <w:rPr>
          <w:rFonts w:eastAsia="Times New Roman"/>
        </w:rPr>
      </w:pPr>
      <w:r w:rsidRPr="008C3A67">
        <w:rPr>
          <w:rFonts w:eastAsia="Times New Roman"/>
        </w:rPr>
        <w:t>Парламентской Ассамблеи ОДКБ</w:t>
      </w:r>
    </w:p>
    <w:p w:rsidR="00D41A10" w:rsidRPr="00D41A10" w:rsidRDefault="008C3A67" w:rsidP="008C3A67">
      <w:pPr>
        <w:suppressAutoHyphens/>
        <w:ind w:right="-144"/>
        <w:jc w:val="right"/>
        <w:rPr>
          <w:rFonts w:eastAsia="Calibri"/>
          <w:i/>
          <w:lang w:eastAsia="en-US"/>
        </w:rPr>
      </w:pPr>
      <w:r w:rsidRPr="008C3A67">
        <w:rPr>
          <w:rFonts w:eastAsia="Arial Unicode MS"/>
          <w:color w:val="000000"/>
        </w:rPr>
        <w:t>30 октября 2018 года, постановление</w:t>
      </w:r>
      <w:r w:rsidR="00D41A10" w:rsidRPr="00D41A10">
        <w:rPr>
          <w:rFonts w:eastAsia="Times New Roman"/>
        </w:rPr>
        <w:t xml:space="preserve"> № 11-</w:t>
      </w:r>
      <w:r w:rsidR="00D41A10">
        <w:rPr>
          <w:rFonts w:eastAsia="Times New Roman"/>
        </w:rPr>
        <w:t>3.7</w:t>
      </w:r>
    </w:p>
    <w:p w:rsidR="00803F5A" w:rsidRDefault="00803F5A" w:rsidP="00F954C4">
      <w:pPr>
        <w:pStyle w:val="a3"/>
        <w:spacing w:line="240" w:lineRule="auto"/>
        <w:ind w:firstLine="0"/>
        <w:jc w:val="center"/>
        <w:rPr>
          <w:b/>
        </w:rPr>
      </w:pPr>
    </w:p>
    <w:p w:rsidR="008C3A67" w:rsidRDefault="008C3A67" w:rsidP="00F954C4">
      <w:pPr>
        <w:pStyle w:val="a3"/>
        <w:spacing w:line="240" w:lineRule="auto"/>
        <w:ind w:firstLine="0"/>
        <w:jc w:val="center"/>
        <w:rPr>
          <w:b/>
        </w:rPr>
      </w:pPr>
    </w:p>
    <w:p w:rsidR="005A2563" w:rsidRPr="005A2563" w:rsidRDefault="005A2563" w:rsidP="00F954C4">
      <w:pPr>
        <w:pStyle w:val="a3"/>
        <w:spacing w:line="240" w:lineRule="auto"/>
        <w:ind w:firstLine="0"/>
        <w:jc w:val="center"/>
        <w:rPr>
          <w:b/>
        </w:rPr>
      </w:pPr>
      <w:r w:rsidRPr="005A2563">
        <w:rPr>
          <w:b/>
        </w:rPr>
        <w:t>РЕКОМЕНДАЦИИ</w:t>
      </w:r>
    </w:p>
    <w:p w:rsidR="00BA1655" w:rsidRPr="005A2563" w:rsidRDefault="00E87B7C" w:rsidP="00F954C4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по гармонизации национального</w:t>
      </w:r>
      <w:r w:rsidR="00BA1655" w:rsidRPr="005A2563">
        <w:rPr>
          <w:b/>
        </w:rPr>
        <w:t xml:space="preserve"> законодательств</w:t>
      </w:r>
      <w:r>
        <w:rPr>
          <w:b/>
        </w:rPr>
        <w:t>а</w:t>
      </w:r>
      <w:r w:rsidR="00BA1655" w:rsidRPr="005A2563">
        <w:rPr>
          <w:b/>
        </w:rPr>
        <w:t xml:space="preserve"> государств – членов Организации Договора о коллективной безопасности в части, касающейся признания организаций террористическими</w:t>
      </w:r>
    </w:p>
    <w:p w:rsidR="005A2563" w:rsidRDefault="005A2563" w:rsidP="00F954C4">
      <w:pPr>
        <w:pStyle w:val="a3"/>
        <w:spacing w:line="240" w:lineRule="auto"/>
        <w:rPr>
          <w:b/>
        </w:rPr>
      </w:pPr>
    </w:p>
    <w:p w:rsidR="00BA1655" w:rsidRPr="000215B1" w:rsidRDefault="00BA1655" w:rsidP="00F954C4">
      <w:pPr>
        <w:pStyle w:val="a3"/>
        <w:spacing w:line="240" w:lineRule="auto"/>
        <w:rPr>
          <w:b/>
        </w:rPr>
      </w:pPr>
      <w:r w:rsidRPr="000215B1">
        <w:rPr>
          <w:b/>
        </w:rPr>
        <w:t>1. Введение</w:t>
      </w:r>
    </w:p>
    <w:p w:rsidR="00BA1655" w:rsidRDefault="00BA1655" w:rsidP="00F954C4">
      <w:pPr>
        <w:pStyle w:val="a3"/>
        <w:spacing w:line="240" w:lineRule="auto"/>
      </w:pPr>
      <w:r w:rsidRPr="00F954C4">
        <w:rPr>
          <w:spacing w:val="-6"/>
        </w:rPr>
        <w:t>Практика работы специальных служб (органов безопасности) государств – членов</w:t>
      </w:r>
      <w:r>
        <w:t xml:space="preserve"> Организации Договора о коллективной безопаснос</w:t>
      </w:r>
      <w:r w:rsidR="007E6581">
        <w:t>ти свидетельствует о том, что большинство террористических актов и иных преступлений</w:t>
      </w:r>
      <w:r>
        <w:t xml:space="preserve"> террористической направленности совершаются высоко сплоченными, тщательно законспирированными сообществами и организациями. При этом для прикрытия такой противоправной деятельности террористы нередко используют официальные организации, созданные в установленном законодательством порядке. </w:t>
      </w:r>
    </w:p>
    <w:p w:rsidR="00BA1655" w:rsidRDefault="00BA1655" w:rsidP="00F954C4">
      <w:pPr>
        <w:pStyle w:val="a3"/>
        <w:spacing w:line="240" w:lineRule="auto"/>
      </w:pPr>
      <w:r>
        <w:t>Для пресечения подобной практики, во исполнение положений Глобальной кон</w:t>
      </w:r>
      <w:r w:rsidR="007E6581">
        <w:t>тртеррористической стратегии Организации Объединенных Наций</w:t>
      </w:r>
      <w:r>
        <w:rPr>
          <w:rStyle w:val="a5"/>
        </w:rPr>
        <w:footnoteReference w:id="1"/>
      </w:r>
      <w:r>
        <w:t xml:space="preserve"> о внедрении справедливых и прозрачных процедур включения организаций в соот</w:t>
      </w:r>
      <w:r w:rsidR="007E6581">
        <w:t>ветствующие списки</w:t>
      </w:r>
      <w:r>
        <w:t xml:space="preserve"> Решением Совета коллективной безопасности ОДКБ 14 октября 2016 года утверждено Положение о </w:t>
      </w:r>
      <w:r w:rsidRPr="00FA6047">
        <w:t>формировани</w:t>
      </w:r>
      <w:r w:rsidR="00FA6047" w:rsidRPr="00FA6047">
        <w:t>и</w:t>
      </w:r>
      <w:r w:rsidRPr="00FA6047">
        <w:t xml:space="preserve"> </w:t>
      </w:r>
      <w:r>
        <w:t>Единого списка организаций, признанных террористическими в формате Организации Договора о коллективной безопасности</w:t>
      </w:r>
      <w:r w:rsidR="000215B1">
        <w:t>.</w:t>
      </w:r>
    </w:p>
    <w:p w:rsidR="00BA1655" w:rsidRDefault="00BA1655" w:rsidP="00F954C4">
      <w:pPr>
        <w:pStyle w:val="a3"/>
        <w:spacing w:line="240" w:lineRule="auto"/>
      </w:pPr>
      <w:r>
        <w:t>Практическая реализация указанного Положения ставит вопрос о проведении мероприятий, направленных на гармонизацию и сближение национального законодательства государств – членов ОДКБ в области признания организаций террористическими. Секретариатом ОДКБ в целях выявления имеющихся различий в национальных подходах и законодательных процедурах проведен сравнительно-правовой анализ нормативных правовых актов в указанной области с учетом соответствую</w:t>
      </w:r>
      <w:r w:rsidR="000215B1">
        <w:t>щих рекомендаций Парламентской А</w:t>
      </w:r>
      <w:r>
        <w:t>ссамблеи ОДКБ</w:t>
      </w:r>
      <w:r>
        <w:rPr>
          <w:rStyle w:val="a5"/>
        </w:rPr>
        <w:footnoteReference w:id="2"/>
      </w:r>
      <w:r w:rsidR="007E6581">
        <w:t xml:space="preserve"> и Межпарламентской А</w:t>
      </w:r>
      <w:r>
        <w:t>ссамблеи СНГ</w:t>
      </w:r>
      <w:r>
        <w:rPr>
          <w:rStyle w:val="a5"/>
        </w:rPr>
        <w:footnoteReference w:id="3"/>
      </w:r>
      <w:r>
        <w:t>.</w:t>
      </w:r>
    </w:p>
    <w:p w:rsidR="000215B1" w:rsidRDefault="00BA1655" w:rsidP="00F954C4">
      <w:pPr>
        <w:pStyle w:val="a3"/>
        <w:spacing w:line="240" w:lineRule="auto"/>
      </w:pPr>
      <w:r>
        <w:t>Под национальным</w:t>
      </w:r>
      <w:r w:rsidR="007E6581">
        <w:t xml:space="preserve"> законодательством государств-</w:t>
      </w:r>
      <w:r>
        <w:t>членов в сфере противодействия терроризму понимаются</w:t>
      </w:r>
      <w:r w:rsidR="00A56FFF">
        <w:t xml:space="preserve"> </w:t>
      </w:r>
      <w:r>
        <w:t xml:space="preserve">прежде всего специальные законы о противодействии </w:t>
      </w:r>
      <w:r w:rsidR="007E6581">
        <w:t>терроризму (борьбе с</w:t>
      </w:r>
      <w:r>
        <w:t xml:space="preserve"> терроризмом</w:t>
      </w:r>
      <w:r w:rsidR="007E6581">
        <w:t>)</w:t>
      </w:r>
      <w:r>
        <w:t xml:space="preserve">, которые в целом </w:t>
      </w:r>
      <w:r>
        <w:lastRenderedPageBreak/>
        <w:t>содержат различные подходы к правовому регулированию деятельности в этой сфере, что обусловлено в том числе отсутствие</w:t>
      </w:r>
      <w:r w:rsidR="007E6581">
        <w:t>м в период принятия национальных законов (1999–2006</w:t>
      </w:r>
      <w:r w:rsidR="00266A1B">
        <w:t xml:space="preserve"> </w:t>
      </w:r>
      <w:r>
        <w:t>годы) скоординированных межгосударственных подходов, включая модельное законодательство.</w:t>
      </w:r>
    </w:p>
    <w:p w:rsidR="00BA1655" w:rsidRDefault="007E6581" w:rsidP="00F954C4">
      <w:pPr>
        <w:pStyle w:val="a3"/>
        <w:spacing w:line="240" w:lineRule="auto"/>
      </w:pPr>
      <w:r>
        <w:t>В частности, рассматривались:</w:t>
      </w:r>
    </w:p>
    <w:p w:rsidR="00BA1655" w:rsidRDefault="007E6581" w:rsidP="00F954C4">
      <w:pPr>
        <w:pStyle w:val="a3"/>
        <w:spacing w:line="240" w:lineRule="auto"/>
      </w:pPr>
      <w:r>
        <w:t xml:space="preserve"> –</w:t>
      </w:r>
      <w:r w:rsidR="00BA1655">
        <w:t> Закон Республики Арм</w:t>
      </w:r>
      <w:r>
        <w:t>ения от 19 апреля 2005 года № ЗР</w:t>
      </w:r>
      <w:r w:rsidR="00BA1655">
        <w:t>-79 «О борьбе с терроризмом»;</w:t>
      </w:r>
    </w:p>
    <w:p w:rsidR="00BA1655" w:rsidRDefault="007E6581" w:rsidP="00F954C4">
      <w:pPr>
        <w:pStyle w:val="a3"/>
        <w:spacing w:line="240" w:lineRule="auto"/>
      </w:pPr>
      <w:r>
        <w:t>–</w:t>
      </w:r>
      <w:r w:rsidR="00BA1655">
        <w:t> Закон Республики Беларусь от 3 января 2002 года № 77-З «О борьбе с терроризмом»;</w:t>
      </w:r>
    </w:p>
    <w:p w:rsidR="00BA1655" w:rsidRDefault="007E6581" w:rsidP="00F954C4">
      <w:pPr>
        <w:pStyle w:val="a3"/>
        <w:spacing w:line="240" w:lineRule="auto"/>
      </w:pPr>
      <w:r>
        <w:t>–</w:t>
      </w:r>
      <w:r w:rsidR="00BA1655">
        <w:t> Закон Республики Казахстан от 13 июля 1999 года № 416-I «О противодействии терроризму»;</w:t>
      </w:r>
    </w:p>
    <w:p w:rsidR="00BA1655" w:rsidRDefault="007E6581" w:rsidP="00F954C4">
      <w:pPr>
        <w:pStyle w:val="a3"/>
        <w:spacing w:line="240" w:lineRule="auto"/>
      </w:pPr>
      <w:r>
        <w:t>–</w:t>
      </w:r>
      <w:r w:rsidR="00BA1655">
        <w:t> Закон Кыргызской Республики от 8 ноября 2006 года № 178 «О противодействии терроризму»;</w:t>
      </w:r>
    </w:p>
    <w:p w:rsidR="00BA1655" w:rsidRDefault="007E6581" w:rsidP="00F954C4">
      <w:pPr>
        <w:pStyle w:val="a3"/>
        <w:spacing w:line="240" w:lineRule="auto"/>
      </w:pPr>
      <w:r>
        <w:t>–</w:t>
      </w:r>
      <w:r w:rsidR="000215B1">
        <w:t xml:space="preserve"> Федеральный закон </w:t>
      </w:r>
      <w:r>
        <w:t xml:space="preserve">Российской Федерации </w:t>
      </w:r>
      <w:r w:rsidR="000215B1">
        <w:t xml:space="preserve">от 6 марта </w:t>
      </w:r>
      <w:r w:rsidR="00BA1655">
        <w:t>2006</w:t>
      </w:r>
      <w:r w:rsidR="000215B1">
        <w:t xml:space="preserve"> года</w:t>
      </w:r>
      <w:r w:rsidR="00BA1655">
        <w:t xml:space="preserve"> № 35-ФЗ «О противодействии терроризму»;</w:t>
      </w:r>
    </w:p>
    <w:p w:rsidR="00BA1655" w:rsidRDefault="007E6581" w:rsidP="00F954C4">
      <w:pPr>
        <w:pStyle w:val="a3"/>
        <w:spacing w:line="240" w:lineRule="auto"/>
      </w:pPr>
      <w:r>
        <w:t>–</w:t>
      </w:r>
      <w:r w:rsidR="00BA1655">
        <w:t> Закон Республики Таджикистан от 16 ноября 1999 года № 846 «О борьбе с терроризмом».</w:t>
      </w:r>
    </w:p>
    <w:p w:rsidR="00BA1655" w:rsidRDefault="00BA1655" w:rsidP="00F954C4">
      <w:pPr>
        <w:pStyle w:val="a3"/>
        <w:spacing w:line="240" w:lineRule="auto"/>
        <w:rPr>
          <w:lang w:eastAsia="ru-RU"/>
        </w:rPr>
      </w:pPr>
      <w:r>
        <w:rPr>
          <w:lang w:eastAsia="ru-RU"/>
        </w:rPr>
        <w:t>В расширительном толковании к законодательству о борьбе с терроризмом также относятся положения уголовных кодексов государств – членов ОДКБ (в части составов преступлений, относимых к террористическим), законов о противодействии финансированию терроризма, о борьбе с орг</w:t>
      </w:r>
      <w:r w:rsidR="007E6581">
        <w:rPr>
          <w:lang w:eastAsia="ru-RU"/>
        </w:rPr>
        <w:t>анизованной преступностью и пр</w:t>
      </w:r>
      <w:r>
        <w:rPr>
          <w:lang w:eastAsia="ru-RU"/>
        </w:rPr>
        <w:t>. Данные блоки законодательства государств – членов ОДКБ в дальнейшей перспективе</w:t>
      </w:r>
      <w:r w:rsidR="007E6581">
        <w:rPr>
          <w:lang w:eastAsia="ru-RU"/>
        </w:rPr>
        <w:t>,</w:t>
      </w:r>
      <w:r>
        <w:rPr>
          <w:lang w:eastAsia="ru-RU"/>
        </w:rPr>
        <w:t xml:space="preserve"> возможно</w:t>
      </w:r>
      <w:r w:rsidR="007E6581">
        <w:rPr>
          <w:lang w:eastAsia="ru-RU"/>
        </w:rPr>
        <w:t>,</w:t>
      </w:r>
      <w:r>
        <w:rPr>
          <w:lang w:eastAsia="ru-RU"/>
        </w:rPr>
        <w:t xml:space="preserve"> также потребуют сближения и гармонизации, в том числе в связи с задачами совместного противодействия террористическим угрозам.</w:t>
      </w:r>
    </w:p>
    <w:p w:rsidR="00BA1655" w:rsidRDefault="00BA1655" w:rsidP="00F954C4">
      <w:pPr>
        <w:pStyle w:val="a3"/>
        <w:spacing w:line="240" w:lineRule="auto"/>
      </w:pPr>
    </w:p>
    <w:p w:rsidR="00BA1655" w:rsidRPr="000215B1" w:rsidRDefault="00BA1655" w:rsidP="00F954C4">
      <w:pPr>
        <w:pStyle w:val="a3"/>
        <w:keepNext/>
        <w:spacing w:line="240" w:lineRule="auto"/>
        <w:rPr>
          <w:b/>
        </w:rPr>
      </w:pPr>
      <w:r w:rsidRPr="000215B1">
        <w:rPr>
          <w:b/>
        </w:rPr>
        <w:t>2. Основания для признания организации террористической</w:t>
      </w:r>
    </w:p>
    <w:p w:rsidR="00BA1655" w:rsidRDefault="00BA1655" w:rsidP="00F954C4">
      <w:pPr>
        <w:pStyle w:val="a3"/>
        <w:spacing w:line="240" w:lineRule="auto"/>
      </w:pPr>
      <w:r>
        <w:t>Деятельность по признанию организации террористической включает в себя следующие основные этапы:</w:t>
      </w:r>
    </w:p>
    <w:p w:rsidR="00BA1655" w:rsidRDefault="000215B1" w:rsidP="00F954C4">
      <w:pPr>
        <w:pStyle w:val="a3"/>
        <w:spacing w:line="240" w:lineRule="auto"/>
      </w:pPr>
      <w:r>
        <w:t>1. В</w:t>
      </w:r>
      <w:r w:rsidR="00BA1655">
        <w:t>ыявление организации, предположительно занимающейся террористической деятельностью, и сбор соотве</w:t>
      </w:r>
      <w:r w:rsidR="007E6581">
        <w:t>тствующих доказательств, что, как правило, осуществляе</w:t>
      </w:r>
      <w:r w:rsidR="00BA1655">
        <w:t>тся специальными с</w:t>
      </w:r>
      <w:r>
        <w:t>лужбами (органами безопасности).</w:t>
      </w:r>
    </w:p>
    <w:p w:rsidR="00BA1655" w:rsidRDefault="000215B1" w:rsidP="00F954C4">
      <w:pPr>
        <w:pStyle w:val="a3"/>
        <w:spacing w:line="240" w:lineRule="auto"/>
      </w:pPr>
      <w:r>
        <w:t>2. Р</w:t>
      </w:r>
      <w:r w:rsidR="00BA1655">
        <w:t>ассмотрение и юридическая оценка собранных материалов судебными органами и принятие ими решения о признании организации террористической, запрете ее дальн</w:t>
      </w:r>
      <w:r>
        <w:t>ейшей деятельности и ликвидации.</w:t>
      </w:r>
    </w:p>
    <w:p w:rsidR="00BA1655" w:rsidRDefault="000215B1" w:rsidP="00F954C4">
      <w:pPr>
        <w:pStyle w:val="a3"/>
        <w:spacing w:line="240" w:lineRule="auto"/>
      </w:pPr>
      <w:r>
        <w:t>3. В</w:t>
      </w:r>
      <w:r w:rsidR="00BA1655">
        <w:t xml:space="preserve">ключение сведений об организации, признанной террористической, в специальный национальный список, его опубликование и использование в повседневной работе специальных служб (органов безопасности). </w:t>
      </w:r>
    </w:p>
    <w:p w:rsidR="00BA1655" w:rsidRDefault="00BA1655" w:rsidP="00F954C4">
      <w:pPr>
        <w:pStyle w:val="a3"/>
        <w:spacing w:line="240" w:lineRule="auto"/>
      </w:pPr>
      <w:r>
        <w:t xml:space="preserve">В законодательстве Республики Армения не определяется понятие «террористическая организация», специальное национальное законодательство не содержит соответствующего института и аналогичных вышеописанным процедур по признанию организации террористической. </w:t>
      </w:r>
    </w:p>
    <w:p w:rsidR="00BA1655" w:rsidRDefault="00BA1655" w:rsidP="00F954C4">
      <w:pPr>
        <w:pStyle w:val="a3"/>
        <w:spacing w:line="240" w:lineRule="auto"/>
      </w:pPr>
      <w:r>
        <w:t xml:space="preserve">В Республике Беларусь террористической организацией признается организация, созданная в целях осуществления террористической деятельности, либо признающая возможность осуществления в своей деятельности террористической деятельности, либо если хотя бы одно из ее структурных подразделений осуществляет террористическую деятельность с ведома ее руководителя (хотя бы одного из должностных </w:t>
      </w:r>
      <w:r w:rsidR="007E6581">
        <w:t>лиц ее руководящего органа) (статья</w:t>
      </w:r>
      <w:r>
        <w:t xml:space="preserve"> 3 закона).</w:t>
      </w:r>
    </w:p>
    <w:p w:rsidR="00BA1655" w:rsidRDefault="00976FB2" w:rsidP="00F954C4">
      <w:pPr>
        <w:pStyle w:val="a3"/>
        <w:spacing w:line="240" w:lineRule="auto"/>
      </w:pPr>
      <w:r>
        <w:t>В Республике</w:t>
      </w:r>
      <w:r w:rsidR="00BA1655">
        <w:t xml:space="preserve"> Казахстан террористической организацией признается организация, осуществляющая террористическую деятельность либо признающая возможность использования в своей деятельности терроризма, в отношении которой принято и вступило в законную силу решение суда о пр</w:t>
      </w:r>
      <w:r>
        <w:t>изнании ее террористической (статья</w:t>
      </w:r>
      <w:r w:rsidR="00BA1655">
        <w:t xml:space="preserve"> 1 закона).</w:t>
      </w:r>
    </w:p>
    <w:p w:rsidR="00BA1655" w:rsidRDefault="00BA1655" w:rsidP="00F954C4">
      <w:pPr>
        <w:pStyle w:val="a3"/>
        <w:spacing w:line="240" w:lineRule="auto"/>
      </w:pPr>
      <w:r>
        <w:t>В Кыргызской Республике террористической организацией признается любая группа террористов, которая:</w:t>
      </w:r>
    </w:p>
    <w:p w:rsidR="00BA1655" w:rsidRDefault="00976FB2" w:rsidP="00F954C4">
      <w:pPr>
        <w:pStyle w:val="a3"/>
        <w:spacing w:line="240" w:lineRule="auto"/>
      </w:pPr>
      <w:r>
        <w:t>–</w:t>
      </w:r>
      <w:r w:rsidR="00BA1655">
        <w:t xml:space="preserve"> совершает или пытается совершить любыми средствами, прямо или косвенно, незаконно и преднамеренно, террористические акты;</w:t>
      </w:r>
    </w:p>
    <w:p w:rsidR="00BA1655" w:rsidRDefault="00976FB2" w:rsidP="00F954C4">
      <w:pPr>
        <w:pStyle w:val="a3"/>
        <w:spacing w:line="240" w:lineRule="auto"/>
      </w:pPr>
      <w:r>
        <w:t>–</w:t>
      </w:r>
      <w:r w:rsidR="00BA1655">
        <w:t xml:space="preserve"> участвует как сообщник в террористических актах;</w:t>
      </w:r>
    </w:p>
    <w:p w:rsidR="00BA1655" w:rsidRDefault="00976FB2" w:rsidP="00F954C4">
      <w:pPr>
        <w:pStyle w:val="a3"/>
        <w:spacing w:line="240" w:lineRule="auto"/>
      </w:pPr>
      <w:r>
        <w:t>–</w:t>
      </w:r>
      <w:r w:rsidR="00BA1655">
        <w:t xml:space="preserve"> организует или направляет других физических и (или) юридических лиц на совершение террористических актов;</w:t>
      </w:r>
    </w:p>
    <w:p w:rsidR="00BA1655" w:rsidRDefault="00976FB2" w:rsidP="00F954C4">
      <w:pPr>
        <w:pStyle w:val="a3"/>
        <w:spacing w:line="240" w:lineRule="auto"/>
      </w:pPr>
      <w:r>
        <w:t>–</w:t>
      </w:r>
      <w:r w:rsidR="00BA1655">
        <w:t xml:space="preserve"> содействует совершению террористических актов группой физических лиц, действующих с общей целью, когда содействие осуществляется сознательно и с целью оказания помощи в совершении террористического акта или осознанием намерения этой группы совершить террористический акт;</w:t>
      </w:r>
    </w:p>
    <w:p w:rsidR="00BA1655" w:rsidRDefault="00976FB2" w:rsidP="00F954C4">
      <w:pPr>
        <w:pStyle w:val="a3"/>
        <w:spacing w:line="240" w:lineRule="auto"/>
      </w:pPr>
      <w:r>
        <w:t>–</w:t>
      </w:r>
      <w:r w:rsidR="00BA1655">
        <w:t xml:space="preserve"> создана или создается для совершения террористической деятельност</w:t>
      </w:r>
      <w:r>
        <w:t>и либо прямо или косвенно находи</w:t>
      </w:r>
      <w:r w:rsidR="00BA1655">
        <w:t>тся в собственности или под контролем террориста или террористов, а также лиц и организаций, действующих от имени или по указанию террорист</w:t>
      </w:r>
      <w:r>
        <w:t>а или террористов (статья</w:t>
      </w:r>
      <w:r w:rsidR="000215B1">
        <w:t>1 закона).</w:t>
      </w:r>
    </w:p>
    <w:p w:rsidR="00BA1655" w:rsidRDefault="00BA1655" w:rsidP="00F954C4">
      <w:pPr>
        <w:pStyle w:val="a3"/>
        <w:spacing w:line="240" w:lineRule="auto"/>
      </w:pPr>
      <w:r>
        <w:t>В Российской Федерации организация признается террористической, если от ее имен</w:t>
      </w:r>
      <w:r w:rsidR="00976FB2">
        <w:t>и или в ее интересах осуществляю</w:t>
      </w:r>
      <w:r>
        <w:t>тся организация, подготовка и совершение преступлений террористической направленности, перечень которых определен законодательно, либо если такие действия совершаются лицом, контролирующим организацию. Кроме того, террористической организацией, подлежащей запрещению, признается террористическое сообщество, установленное соответствующим пригово</w:t>
      </w:r>
      <w:r w:rsidR="00976FB2">
        <w:t>ром суда по уголовному делу (статья</w:t>
      </w:r>
      <w:r>
        <w:t xml:space="preserve"> 24 закона). </w:t>
      </w:r>
    </w:p>
    <w:p w:rsidR="00BA1655" w:rsidRDefault="00BA1655" w:rsidP="00F954C4">
      <w:pPr>
        <w:pStyle w:val="a3"/>
        <w:spacing w:line="240" w:lineRule="auto"/>
      </w:pPr>
      <w:r>
        <w:t>В Республике Таджикистан террористической организацией признается организация, созданная в целях осуществления террористической деятельности или признающая возможность использования в своей деятельности терроризма. Организация считается террористической, если хотя бы одно из ее структурных подразделений осуществляет террористическую деятельность с ведома хотя бы одного из руководящих</w:t>
      </w:r>
      <w:r w:rsidR="00976FB2">
        <w:t xml:space="preserve"> органов данной организации (статья</w:t>
      </w:r>
      <w:r>
        <w:t xml:space="preserve"> 4 закона).</w:t>
      </w:r>
    </w:p>
    <w:p w:rsidR="00BA1655" w:rsidRDefault="00BA1655" w:rsidP="00F954C4">
      <w:pPr>
        <w:pStyle w:val="a3"/>
        <w:spacing w:line="240" w:lineRule="auto"/>
      </w:pPr>
    </w:p>
    <w:p w:rsidR="00BA1655" w:rsidRPr="000215B1" w:rsidRDefault="00BA1655" w:rsidP="00F954C4">
      <w:pPr>
        <w:pStyle w:val="a3"/>
        <w:keepNext/>
        <w:spacing w:line="240" w:lineRule="auto"/>
        <w:rPr>
          <w:b/>
        </w:rPr>
      </w:pPr>
      <w:r w:rsidRPr="000215B1">
        <w:rPr>
          <w:b/>
        </w:rPr>
        <w:t>3. Специальные национальные списки террористических организаций</w:t>
      </w:r>
    </w:p>
    <w:p w:rsidR="00BA1655" w:rsidRDefault="00BA1655" w:rsidP="00F954C4">
      <w:pPr>
        <w:pStyle w:val="a3"/>
        <w:spacing w:line="240" w:lineRule="auto"/>
      </w:pPr>
      <w:r>
        <w:t xml:space="preserve">Институт списка запрещенных террористических организаций в той или иной степени </w:t>
      </w:r>
      <w:r w:rsidR="00976FB2">
        <w:t>используется в законодательстве</w:t>
      </w:r>
      <w:r>
        <w:t xml:space="preserve"> всех государств – членов ОДКБ, за исключением </w:t>
      </w:r>
      <w:r w:rsidR="000215B1">
        <w:t>Республики Армения</w:t>
      </w:r>
      <w:r>
        <w:t>.</w:t>
      </w:r>
    </w:p>
    <w:p w:rsidR="00BA1655" w:rsidRDefault="00BA1655" w:rsidP="00F954C4">
      <w:pPr>
        <w:pStyle w:val="a3"/>
        <w:spacing w:line="240" w:lineRule="auto"/>
      </w:pPr>
      <w:r>
        <w:t>В Республике Беларусь перечень террористических организаций ведется Комитетом государственной безопасности на основании соот</w:t>
      </w:r>
      <w:r w:rsidR="00976FB2">
        <w:t>ветствующих решений Верховного С</w:t>
      </w:r>
      <w:r>
        <w:t>уда Республики Беларусь о признании тех или иных ор</w:t>
      </w:r>
      <w:r w:rsidR="00976FB2">
        <w:t>ганизаций террористическими (статья</w:t>
      </w:r>
      <w:r>
        <w:t xml:space="preserve"> 23 закона).</w:t>
      </w:r>
    </w:p>
    <w:p w:rsidR="00BA1655" w:rsidRDefault="00BA1655" w:rsidP="00F954C4">
      <w:pPr>
        <w:pStyle w:val="a3"/>
        <w:spacing w:line="240" w:lineRule="auto"/>
      </w:pPr>
      <w:r>
        <w:t>В Республике Казахстан решение суда о признании организации террористической является основанием для ее включения в систему специальных учетов уполномоченного государственного органа. Единый список организаций, признанных судом террористическими, ведется уполномоченным государственным органом – Комитетом по правовой статистике и специальным учетам Генеральной проку</w:t>
      </w:r>
      <w:r w:rsidR="00976FB2">
        <w:t>ратуры Республики Казахстан (статья</w:t>
      </w:r>
      <w:r>
        <w:t xml:space="preserve"> 12-1 закона). </w:t>
      </w:r>
    </w:p>
    <w:p w:rsidR="00BA1655" w:rsidRDefault="00BA1655" w:rsidP="00F954C4">
      <w:pPr>
        <w:pStyle w:val="a3"/>
        <w:spacing w:line="240" w:lineRule="auto"/>
      </w:pPr>
      <w:r>
        <w:t>В Кыргызской Республике перечень лиц, причастных к террористической или экстремистской деятельности или распространению оружия массового уничтожения, в котором выделяется специальный раздел, касающийся организаций, признанных судом террористическими, ведется Государственной службой финансовой разведки при Правительстве Кыргызской Республики.</w:t>
      </w:r>
    </w:p>
    <w:p w:rsidR="00BA1655" w:rsidRDefault="00BA1655" w:rsidP="00F954C4">
      <w:pPr>
        <w:pStyle w:val="a3"/>
        <w:spacing w:line="240" w:lineRule="auto"/>
      </w:pPr>
      <w:r>
        <w:t>В соответствии с Положением о перечне лиц, причастных к террористической и экстремистской деятельности или распространению оружия массового уничтожения, утвержденным постановлением Правительства Кыргызской Республики от 5 марта 2010 года № 135</w:t>
      </w:r>
      <w:r w:rsidR="00976FB2">
        <w:t>, основаниями для включения в п</w:t>
      </w:r>
      <w:r>
        <w:t>еречень организаций являются (раздел 2 положения):</w:t>
      </w:r>
    </w:p>
    <w:p w:rsidR="00BA1655" w:rsidRDefault="00976FB2" w:rsidP="00F954C4">
      <w:pPr>
        <w:pStyle w:val="a3"/>
        <w:spacing w:line="240" w:lineRule="auto"/>
      </w:pPr>
      <w:r>
        <w:t>–</w:t>
      </w:r>
      <w:r w:rsidR="00BA1655">
        <w:t xml:space="preserve"> вступившие в законную силу решения судов Кыргызской Республики о признании и ликвидации или запрете деятельности юридического лица в связи с осуществлением им террористической или экстремистской деятельности либо распространения оружия массового уничтожения;</w:t>
      </w:r>
    </w:p>
    <w:p w:rsidR="00BA1655" w:rsidRDefault="00976FB2" w:rsidP="00F954C4">
      <w:pPr>
        <w:pStyle w:val="a3"/>
        <w:spacing w:line="240" w:lineRule="auto"/>
      </w:pPr>
      <w:r>
        <w:t>– </w:t>
      </w:r>
      <w:r w:rsidR="00906D5C">
        <w:t xml:space="preserve">перечни, </w:t>
      </w:r>
      <w:r>
        <w:t>составленные</w:t>
      </w:r>
      <w:r w:rsidR="00BA1655">
        <w:t xml:space="preserve"> комитетами Совета Безопасности ООН, или прямое указание соответствующих резолюций Совета Безопасности ООН;</w:t>
      </w:r>
    </w:p>
    <w:p w:rsidR="00BA1655" w:rsidRDefault="00976FB2" w:rsidP="00F954C4">
      <w:pPr>
        <w:pStyle w:val="a3"/>
        <w:spacing w:line="240" w:lineRule="auto"/>
      </w:pPr>
      <w:r>
        <w:t xml:space="preserve">– </w:t>
      </w:r>
      <w:r w:rsidR="00906D5C">
        <w:t xml:space="preserve">перечни, </w:t>
      </w:r>
      <w:r>
        <w:t>составленные</w:t>
      </w:r>
      <w:r w:rsidR="00BA1655">
        <w:t xml:space="preserve"> иностранными государствами, международными организациями или уполномоченными ими органами, переданные и признанные на основании международных договоров Кыргызской Республики или на принципах взаимности;</w:t>
      </w:r>
    </w:p>
    <w:p w:rsidR="00BA1655" w:rsidRDefault="00976FB2" w:rsidP="00F954C4">
      <w:pPr>
        <w:pStyle w:val="a3"/>
        <w:spacing w:line="240" w:lineRule="auto"/>
      </w:pPr>
      <w:r>
        <w:t>–</w:t>
      </w:r>
      <w:r w:rsidR="00BA1655">
        <w:t xml:space="preserve"> приговоры (решения) судов иностранных государств об осуждении юридических лиц за совершение террористической деятельности, признанные Кыргызской Республикой на основании международных договоров Кыргызской Республики или на принципах взаимности;</w:t>
      </w:r>
    </w:p>
    <w:p w:rsidR="00BA1655" w:rsidRDefault="00976FB2" w:rsidP="00F954C4">
      <w:pPr>
        <w:pStyle w:val="a3"/>
        <w:spacing w:line="240" w:lineRule="auto"/>
      </w:pPr>
      <w:r>
        <w:t>–</w:t>
      </w:r>
      <w:r w:rsidR="00BA1655">
        <w:t> официальные международные запросы, подтверждающие причастность юридического лица к террористической</w:t>
      </w:r>
      <w:r>
        <w:t xml:space="preserve"> или экстремистской деятельности</w:t>
      </w:r>
      <w:r w:rsidR="00BA1655">
        <w:t>, направленные компетентными органами зарубежного государства или международными организациями в соответствии с международными договорами Кыргызской Республики или на принципах взаимности.</w:t>
      </w:r>
    </w:p>
    <w:p w:rsidR="00BA1655" w:rsidRDefault="00BA1655" w:rsidP="00F954C4">
      <w:pPr>
        <w:pStyle w:val="a3"/>
        <w:spacing w:line="240" w:lineRule="auto"/>
      </w:pPr>
      <w:r>
        <w:t>В Российской Федерации Федеральная служба безопасности ведет единый федеральный список организаций, признанных террористическими на основании соотв</w:t>
      </w:r>
      <w:r w:rsidR="00976FB2">
        <w:t>етствующих судебных решений (статья</w:t>
      </w:r>
      <w:r>
        <w:t xml:space="preserve"> 24 закона).</w:t>
      </w:r>
    </w:p>
    <w:p w:rsidR="00BA1655" w:rsidRDefault="00BA1655" w:rsidP="00F954C4">
      <w:pPr>
        <w:pStyle w:val="a3"/>
        <w:spacing w:line="240" w:lineRule="auto"/>
      </w:pPr>
      <w:r>
        <w:t>В Республике Таджикистан список лиц, связанных с терроризмом</w:t>
      </w:r>
      <w:r w:rsidR="00976FB2">
        <w:t>,</w:t>
      </w:r>
      <w:r>
        <w:t xml:space="preserve"> составляется Государственным комитетом национальной безопасности Республики Таджикистан.  Организация признае</w:t>
      </w:r>
      <w:r w:rsidR="00976FB2">
        <w:t>тся террористической Верховным С</w:t>
      </w:r>
      <w:r>
        <w:t>удом Республики Таджикистан. Кроме того, Государственный комитет национальной безопасности Республики Таджикистан также вносит в список лиц, связанных с терроризмом, организации, призн</w:t>
      </w:r>
      <w:r w:rsidR="00976FB2">
        <w:t>анные террористическими</w:t>
      </w:r>
      <w:r>
        <w:t xml:space="preserve"> в соответствии с резолюциями Совета Безопасност</w:t>
      </w:r>
      <w:r w:rsidR="00976FB2">
        <w:t>и ООН</w:t>
      </w:r>
      <w:r>
        <w:t xml:space="preserve"> и (или) международными правовыми актами</w:t>
      </w:r>
      <w:r w:rsidR="00976FB2">
        <w:t>, признанными Таджикистаном (статья</w:t>
      </w:r>
      <w:r>
        <w:t xml:space="preserve"> 17-1 закона).</w:t>
      </w:r>
    </w:p>
    <w:p w:rsidR="00BA1655" w:rsidRDefault="00BA1655" w:rsidP="00F954C4">
      <w:pPr>
        <w:pStyle w:val="a3"/>
        <w:spacing w:line="240" w:lineRule="auto"/>
      </w:pPr>
    </w:p>
    <w:p w:rsidR="00BA1655" w:rsidRPr="000215B1" w:rsidRDefault="00BA1655" w:rsidP="00F954C4">
      <w:pPr>
        <w:pStyle w:val="a3"/>
        <w:keepNext/>
        <w:spacing w:line="240" w:lineRule="auto"/>
        <w:rPr>
          <w:b/>
        </w:rPr>
      </w:pPr>
      <w:r w:rsidRPr="000215B1">
        <w:rPr>
          <w:b/>
        </w:rPr>
        <w:t xml:space="preserve">4. </w:t>
      </w:r>
      <w:r w:rsidR="00AC4508" w:rsidRPr="00AC4508">
        <w:rPr>
          <w:b/>
        </w:rPr>
        <w:t>Процессуальные</w:t>
      </w:r>
      <w:r w:rsidRPr="000215B1">
        <w:rPr>
          <w:b/>
        </w:rPr>
        <w:t xml:space="preserve"> особенности</w:t>
      </w:r>
    </w:p>
    <w:p w:rsidR="00BA1655" w:rsidRDefault="00BA1655" w:rsidP="00F954C4">
      <w:pPr>
        <w:pStyle w:val="a3"/>
        <w:spacing w:line="240" w:lineRule="auto"/>
      </w:pPr>
      <w:r>
        <w:t xml:space="preserve">В государствах – членах ОДКБ вопрос о признании организации террористической рассматривается судами в соответствии с национальным законодательством о судоустройстве и судопроизводстве. В зависимости от сложившихся подходов может рассматриваться как высшими судебными инстанциями (Республика Беларусь, Республика Таджикистан), так и нижестоящими судами; как по общим правилам, так и в порядке особого производства (Республика Казахстан). </w:t>
      </w:r>
    </w:p>
    <w:p w:rsidR="00BA1655" w:rsidRDefault="00BA1655" w:rsidP="00F954C4">
      <w:pPr>
        <w:pStyle w:val="a3"/>
        <w:spacing w:line="240" w:lineRule="auto"/>
        <w:rPr>
          <w:i/>
        </w:rPr>
      </w:pPr>
      <w:r>
        <w:t xml:space="preserve">Представляется, что для достижения целей, стоящих перед ОДКБ в сфере противодействия террористическим организациям, национальные </w:t>
      </w:r>
      <w:r w:rsidRPr="00AC4508">
        <w:t xml:space="preserve">процессуальные </w:t>
      </w:r>
      <w:r>
        <w:t>особенности рассмотрения соответствующих дел уполномоченными судебными органами принципиального значения не имеют.</w:t>
      </w:r>
    </w:p>
    <w:p w:rsidR="00BA1655" w:rsidRDefault="00BA1655" w:rsidP="00F954C4">
      <w:pPr>
        <w:pStyle w:val="a3"/>
        <w:keepNext/>
        <w:spacing w:line="240" w:lineRule="auto"/>
      </w:pPr>
    </w:p>
    <w:p w:rsidR="00BA1655" w:rsidRPr="000215B1" w:rsidRDefault="000215B1" w:rsidP="00F954C4">
      <w:pPr>
        <w:pStyle w:val="a3"/>
        <w:keepNext/>
        <w:spacing w:line="240" w:lineRule="auto"/>
        <w:rPr>
          <w:b/>
        </w:rPr>
      </w:pPr>
      <w:r>
        <w:rPr>
          <w:b/>
        </w:rPr>
        <w:t>5</w:t>
      </w:r>
      <w:r w:rsidR="00BA1655" w:rsidRPr="000215B1">
        <w:rPr>
          <w:b/>
        </w:rPr>
        <w:t>. Заключение и рекомендации</w:t>
      </w:r>
    </w:p>
    <w:p w:rsidR="00BA1655" w:rsidRDefault="00BA1655" w:rsidP="00F954C4">
      <w:pPr>
        <w:pStyle w:val="a3"/>
        <w:spacing w:line="240" w:lineRule="auto"/>
      </w:pPr>
      <w:r>
        <w:t>Гармонизация законодательства является важнейшей формой сближения правовых систем, не приводящей пра</w:t>
      </w:r>
      <w:r w:rsidR="00976FB2">
        <w:t xml:space="preserve">вовые системы к полному единообразию, </w:t>
      </w:r>
      <w:r w:rsidR="00906D5C">
        <w:t xml:space="preserve">но </w:t>
      </w:r>
      <w:r w:rsidR="00976FB2">
        <w:t>позволяющей преодолеть различия</w:t>
      </w:r>
      <w:r>
        <w:t xml:space="preserve"> в</w:t>
      </w:r>
      <w:r w:rsidR="00976FB2">
        <w:t xml:space="preserve"> национальных традициях, уровне</w:t>
      </w:r>
      <w:r>
        <w:t xml:space="preserve"> развития и подходах к </w:t>
      </w:r>
      <w:r w:rsidR="00976FB2">
        <w:t>решению правовых проблем</w:t>
      </w:r>
      <w:r>
        <w:t>.</w:t>
      </w:r>
    </w:p>
    <w:p w:rsidR="00BA1655" w:rsidRDefault="00BA1655" w:rsidP="00F954C4">
      <w:pPr>
        <w:pStyle w:val="a3"/>
        <w:spacing w:line="240" w:lineRule="auto"/>
      </w:pPr>
      <w:r>
        <w:t xml:space="preserve">При осуществлении процесса гармонизации </w:t>
      </w:r>
      <w:r w:rsidR="00976FB2">
        <w:t>применяются</w:t>
      </w:r>
      <w:r>
        <w:t xml:space="preserve"> разнообразные методы, включающие выработку единой терминологии, приемы юридической техники, а также установление желательного результата правового регулирования при условии, что для его достижения используются правовые формы, присущие национальным правовым системам.</w:t>
      </w:r>
    </w:p>
    <w:p w:rsidR="00BA1655" w:rsidRDefault="00906D5C" w:rsidP="00F954C4">
      <w:pPr>
        <w:pStyle w:val="a3"/>
        <w:spacing w:line="240" w:lineRule="auto"/>
      </w:pPr>
      <w:r>
        <w:t>С учетом  вышеизложенного</w:t>
      </w:r>
      <w:r w:rsidR="00D66785">
        <w:t xml:space="preserve"> для</w:t>
      </w:r>
      <w:r w:rsidR="00BA1655">
        <w:t xml:space="preserve"> гармонизации законодательства в сфере признания организаци</w:t>
      </w:r>
      <w:r w:rsidR="00D66785">
        <w:t>й террористическими представляется</w:t>
      </w:r>
      <w:r w:rsidR="00BA1655">
        <w:t xml:space="preserve"> </w:t>
      </w:r>
      <w:r w:rsidR="00D66785">
        <w:t xml:space="preserve">целесообразным </w:t>
      </w:r>
      <w:r w:rsidR="00BA1655">
        <w:t>рекомендовать г</w:t>
      </w:r>
      <w:r w:rsidR="000215B1">
        <w:t>осударствам – членам ОДКБ</w:t>
      </w:r>
      <w:r w:rsidR="00BA1655">
        <w:t>:</w:t>
      </w:r>
    </w:p>
    <w:p w:rsidR="00BA1655" w:rsidRDefault="00BA1655" w:rsidP="00F954C4">
      <w:pPr>
        <w:pStyle w:val="a3"/>
        <w:spacing w:line="240" w:lineRule="auto"/>
      </w:pPr>
      <w:r>
        <w:t>1. Предусмотреть правовую воз</w:t>
      </w:r>
      <w:r w:rsidR="00D66785">
        <w:t>можность привлечения организации</w:t>
      </w:r>
      <w:r>
        <w:t xml:space="preserve"> к ответственности за участие в террористической деятельности в форме ее ликвидации (запрета деятельности),</w:t>
      </w:r>
      <w:r w:rsidR="00D66785">
        <w:t xml:space="preserve"> а также внесения сведений о ней</w:t>
      </w:r>
      <w:r>
        <w:t xml:space="preserve"> в соответствующий национальный перечень (Республика Армения).</w:t>
      </w:r>
    </w:p>
    <w:p w:rsidR="00BA1655" w:rsidRDefault="00BA1655" w:rsidP="00F954C4">
      <w:pPr>
        <w:pStyle w:val="a3"/>
        <w:spacing w:line="240" w:lineRule="auto"/>
      </w:pPr>
      <w:r>
        <w:t>2. Предусмотреть правовую возможность признания организации террористической и включения сведений о ней в соответствующий национальный списо</w:t>
      </w:r>
      <w:r w:rsidR="00D66785">
        <w:t>к на основании списка, утвержденного Советом Безопасности ООН, либо Единого списка</w:t>
      </w:r>
      <w:r>
        <w:t xml:space="preserve"> организаций</w:t>
      </w:r>
      <w:r w:rsidR="00D66785">
        <w:t>,</w:t>
      </w:r>
      <w:r>
        <w:t xml:space="preserve"> </w:t>
      </w:r>
      <w:r w:rsidR="00D66785">
        <w:t xml:space="preserve">признанных террористическими в формате </w:t>
      </w:r>
      <w:r>
        <w:t>Организации Договора о коллективной безопасности (Республика Беларусь, Республика Казахстан, Российская Федерация).</w:t>
      </w:r>
    </w:p>
    <w:p w:rsidR="00BA1655" w:rsidRDefault="00BA1655" w:rsidP="00F954C4">
      <w:pPr>
        <w:pStyle w:val="a3"/>
        <w:spacing w:line="240" w:lineRule="auto"/>
      </w:pPr>
      <w:r>
        <w:t>При этом, руково</w:t>
      </w:r>
      <w:r w:rsidR="00D66785">
        <w:t>дствуясь положениями Устава Организации Договора о коллективной безопасности</w:t>
      </w:r>
      <w:r>
        <w:t xml:space="preserve"> о невмешательстве в дела, подпадающие под национальную юрисдикцию,</w:t>
      </w:r>
      <w:r w:rsidR="000215B1">
        <w:t xml:space="preserve"> государства – члены ОДКБ</w:t>
      </w:r>
      <w:r>
        <w:t xml:space="preserve"> могут использовать любые юридические средства своих правовых систем (изменение законодательства, принятие подзаконных нормативных правовых актов, обобщение судебной и правоприменительной практики и т.</w:t>
      </w:r>
      <w:r w:rsidR="00D66785">
        <w:t xml:space="preserve"> </w:t>
      </w:r>
      <w:r>
        <w:t>п.) для достижения целей рекомендаций.</w:t>
      </w:r>
    </w:p>
    <w:p w:rsidR="00BA3EC2" w:rsidRDefault="00BA3EC2" w:rsidP="00F954C4"/>
    <w:sectPr w:rsidR="00BA3EC2" w:rsidSect="00F954C4">
      <w:headerReference w:type="default" r:id="rId9"/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6D" w:rsidRDefault="0046146D" w:rsidP="00BA1655">
      <w:r>
        <w:separator/>
      </w:r>
    </w:p>
  </w:endnote>
  <w:endnote w:type="continuationSeparator" w:id="0">
    <w:p w:rsidR="0046146D" w:rsidRDefault="0046146D" w:rsidP="00BA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6D" w:rsidRDefault="0046146D" w:rsidP="00BA1655">
      <w:r>
        <w:separator/>
      </w:r>
    </w:p>
  </w:footnote>
  <w:footnote w:type="continuationSeparator" w:id="0">
    <w:p w:rsidR="0046146D" w:rsidRDefault="0046146D" w:rsidP="00BA1655">
      <w:r>
        <w:continuationSeparator/>
      </w:r>
    </w:p>
  </w:footnote>
  <w:footnote w:id="1">
    <w:p w:rsidR="00BA1655" w:rsidRDefault="00BA1655" w:rsidP="00BA1655">
      <w:pPr>
        <w:pStyle w:val="a4"/>
      </w:pPr>
      <w:r>
        <w:rPr>
          <w:rStyle w:val="a5"/>
        </w:rPr>
        <w:footnoteRef/>
      </w:r>
      <w:r w:rsidR="007E6581">
        <w:t> </w:t>
      </w:r>
      <w:r>
        <w:t>Резолюци</w:t>
      </w:r>
      <w:r w:rsidR="007E6581">
        <w:t xml:space="preserve">я Генеральной Ассамблеи ООН от 8 сентября </w:t>
      </w:r>
      <w:r>
        <w:t>2006</w:t>
      </w:r>
      <w:r w:rsidR="007E6581">
        <w:t xml:space="preserve"> года </w:t>
      </w:r>
      <w:r>
        <w:t>№ 60/288.</w:t>
      </w:r>
    </w:p>
  </w:footnote>
  <w:footnote w:id="2">
    <w:p w:rsidR="00BA1655" w:rsidRDefault="00BA1655" w:rsidP="00BA1655">
      <w:pPr>
        <w:pStyle w:val="a4"/>
      </w:pPr>
      <w:r>
        <w:rPr>
          <w:rStyle w:val="a5"/>
        </w:rPr>
        <w:footnoteRef/>
      </w:r>
      <w:r>
        <w:t> Рекомендации по сближению и гармонизации национального законодательства государств – членов ОДКБ в сфере противоде</w:t>
      </w:r>
      <w:r w:rsidR="00906D5C">
        <w:t>йствия терроризму и экстремизму</w:t>
      </w:r>
      <w:r>
        <w:t xml:space="preserve"> </w:t>
      </w:r>
      <w:r w:rsidR="007E6581">
        <w:t xml:space="preserve"> (п</w:t>
      </w:r>
      <w:r w:rsidR="000215B1">
        <w:t>остановление Парламентской А</w:t>
      </w:r>
      <w:r>
        <w:t>ссамблеи ОДКБ от 26 ноября 2015 года № 8-3</w:t>
      </w:r>
      <w:r w:rsidR="007E6581">
        <w:t>)</w:t>
      </w:r>
      <w:r>
        <w:t>.</w:t>
      </w:r>
    </w:p>
  </w:footnote>
  <w:footnote w:id="3">
    <w:p w:rsidR="00BA1655" w:rsidRDefault="00BA1655" w:rsidP="00BA1655">
      <w:pPr>
        <w:pStyle w:val="a4"/>
      </w:pPr>
      <w:r>
        <w:rPr>
          <w:rStyle w:val="a5"/>
        </w:rPr>
        <w:footnoteRef/>
      </w:r>
      <w:r>
        <w:t xml:space="preserve"> Рекомендации по совершенствованию и гармонизации национального законодательства государств – участников СНГ по вопросам отнесения организаций к террор</w:t>
      </w:r>
      <w:r w:rsidR="00906D5C">
        <w:t>истическим и экстремистским</w:t>
      </w:r>
      <w:r w:rsidR="007E6581">
        <w:t xml:space="preserve"> (постановление Межпарламентской А</w:t>
      </w:r>
      <w:r>
        <w:t>ссамблеи СНГ от 25 ноября 2016 года № 45-20</w:t>
      </w:r>
      <w:r w:rsidR="007E6581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E7" w:rsidRDefault="00DC21E7">
    <w:pPr>
      <w:pStyle w:val="a6"/>
      <w:jc w:val="center"/>
    </w:pPr>
  </w:p>
  <w:p w:rsidR="00DC21E7" w:rsidRDefault="00DC21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55"/>
    <w:rsid w:val="000215B1"/>
    <w:rsid w:val="000E54CF"/>
    <w:rsid w:val="0014516A"/>
    <w:rsid w:val="001B794A"/>
    <w:rsid w:val="00266A1B"/>
    <w:rsid w:val="002912CB"/>
    <w:rsid w:val="0035614A"/>
    <w:rsid w:val="00435296"/>
    <w:rsid w:val="0046146D"/>
    <w:rsid w:val="005358B0"/>
    <w:rsid w:val="005509DE"/>
    <w:rsid w:val="005A2563"/>
    <w:rsid w:val="006D3D01"/>
    <w:rsid w:val="006E6362"/>
    <w:rsid w:val="00710440"/>
    <w:rsid w:val="007876C9"/>
    <w:rsid w:val="007E6581"/>
    <w:rsid w:val="007F4AD7"/>
    <w:rsid w:val="00803F5A"/>
    <w:rsid w:val="008C3A67"/>
    <w:rsid w:val="00906D5C"/>
    <w:rsid w:val="00976FB2"/>
    <w:rsid w:val="009B4E44"/>
    <w:rsid w:val="009C73E8"/>
    <w:rsid w:val="00A56FFF"/>
    <w:rsid w:val="00A75E02"/>
    <w:rsid w:val="00AC4508"/>
    <w:rsid w:val="00B77E99"/>
    <w:rsid w:val="00BA1655"/>
    <w:rsid w:val="00BA3EC2"/>
    <w:rsid w:val="00BF4C6F"/>
    <w:rsid w:val="00CC5DF4"/>
    <w:rsid w:val="00D06703"/>
    <w:rsid w:val="00D41A10"/>
    <w:rsid w:val="00D448C2"/>
    <w:rsid w:val="00D66785"/>
    <w:rsid w:val="00DC21E7"/>
    <w:rsid w:val="00E87B7C"/>
    <w:rsid w:val="00EB0E26"/>
    <w:rsid w:val="00EC7FED"/>
    <w:rsid w:val="00F13585"/>
    <w:rsid w:val="00F91108"/>
    <w:rsid w:val="00F954C4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D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qFormat/>
    <w:rsid w:val="00BA1655"/>
    <w:pPr>
      <w:spacing w:line="360" w:lineRule="auto"/>
      <w:ind w:firstLine="709"/>
      <w:jc w:val="both"/>
    </w:pPr>
    <w:rPr>
      <w:rFonts w:cstheme="minorBidi"/>
      <w:color w:val="000000" w:themeColor="text1"/>
      <w:sz w:val="28"/>
      <w:szCs w:val="22"/>
    </w:rPr>
  </w:style>
  <w:style w:type="paragraph" w:customStyle="1" w:styleId="-">
    <w:name w:val="Обращение - Заголовок"/>
    <w:basedOn w:val="a3"/>
    <w:next w:val="a3"/>
    <w:qFormat/>
    <w:rsid w:val="00BA1655"/>
    <w:pPr>
      <w:spacing w:after="120" w:line="240" w:lineRule="auto"/>
      <w:ind w:firstLine="0"/>
      <w:jc w:val="center"/>
    </w:pPr>
    <w:rPr>
      <w:b/>
    </w:rPr>
  </w:style>
  <w:style w:type="paragraph" w:customStyle="1" w:styleId="a4">
    <w:name w:val="Сноска"/>
    <w:basedOn w:val="a3"/>
    <w:qFormat/>
    <w:rsid w:val="00BA1655"/>
    <w:pPr>
      <w:spacing w:line="240" w:lineRule="auto"/>
      <w:ind w:firstLine="0"/>
    </w:pPr>
    <w:rPr>
      <w:sz w:val="24"/>
    </w:rPr>
  </w:style>
  <w:style w:type="character" w:styleId="a5">
    <w:name w:val="footnote reference"/>
    <w:basedOn w:val="a0"/>
    <w:uiPriority w:val="99"/>
    <w:semiHidden/>
    <w:unhideWhenUsed/>
    <w:rsid w:val="00BA165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C2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21E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21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21E7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21E7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1E7"/>
    <w:rPr>
      <w:rFonts w:ascii="Calibri" w:hAnsi="Calibri"/>
      <w:sz w:val="16"/>
      <w:szCs w:val="16"/>
      <w:lang w:eastAsia="ru-RU"/>
    </w:rPr>
  </w:style>
  <w:style w:type="table" w:styleId="ac">
    <w:name w:val="Table Grid"/>
    <w:basedOn w:val="a1"/>
    <w:uiPriority w:val="59"/>
    <w:rsid w:val="001B794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D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qFormat/>
    <w:rsid w:val="00BA1655"/>
    <w:pPr>
      <w:spacing w:line="360" w:lineRule="auto"/>
      <w:ind w:firstLine="709"/>
      <w:jc w:val="both"/>
    </w:pPr>
    <w:rPr>
      <w:rFonts w:cstheme="minorBidi"/>
      <w:color w:val="000000" w:themeColor="text1"/>
      <w:sz w:val="28"/>
      <w:szCs w:val="22"/>
    </w:rPr>
  </w:style>
  <w:style w:type="paragraph" w:customStyle="1" w:styleId="-">
    <w:name w:val="Обращение - Заголовок"/>
    <w:basedOn w:val="a3"/>
    <w:next w:val="a3"/>
    <w:qFormat/>
    <w:rsid w:val="00BA1655"/>
    <w:pPr>
      <w:spacing w:after="120" w:line="240" w:lineRule="auto"/>
      <w:ind w:firstLine="0"/>
      <w:jc w:val="center"/>
    </w:pPr>
    <w:rPr>
      <w:b/>
    </w:rPr>
  </w:style>
  <w:style w:type="paragraph" w:customStyle="1" w:styleId="a4">
    <w:name w:val="Сноска"/>
    <w:basedOn w:val="a3"/>
    <w:qFormat/>
    <w:rsid w:val="00BA1655"/>
    <w:pPr>
      <w:spacing w:line="240" w:lineRule="auto"/>
      <w:ind w:firstLine="0"/>
    </w:pPr>
    <w:rPr>
      <w:sz w:val="24"/>
    </w:rPr>
  </w:style>
  <w:style w:type="character" w:styleId="a5">
    <w:name w:val="footnote reference"/>
    <w:basedOn w:val="a0"/>
    <w:uiPriority w:val="99"/>
    <w:semiHidden/>
    <w:unhideWhenUsed/>
    <w:rsid w:val="00BA165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C2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21E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21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21E7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21E7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1E7"/>
    <w:rPr>
      <w:rFonts w:ascii="Calibri" w:hAnsi="Calibri"/>
      <w:sz w:val="16"/>
      <w:szCs w:val="16"/>
      <w:lang w:eastAsia="ru-RU"/>
    </w:rPr>
  </w:style>
  <w:style w:type="table" w:styleId="ac">
    <w:name w:val="Table Grid"/>
    <w:basedOn w:val="a1"/>
    <w:uiPriority w:val="59"/>
    <w:rsid w:val="001B794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GRISHAGIN</dc:creator>
  <cp:lastModifiedBy>klapan</cp:lastModifiedBy>
  <cp:revision>2</cp:revision>
  <cp:lastPrinted>2017-08-22T06:16:00Z</cp:lastPrinted>
  <dcterms:created xsi:type="dcterms:W3CDTF">2018-12-03T09:21:00Z</dcterms:created>
  <dcterms:modified xsi:type="dcterms:W3CDTF">2018-12-03T09:21:00Z</dcterms:modified>
</cp:coreProperties>
</file>